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CA05" w14:textId="00890675" w:rsidR="00C81591" w:rsidRPr="009C75C2" w:rsidRDefault="00DD25DA">
      <w:pPr>
        <w:rPr>
          <w:b/>
          <w:bCs/>
          <w:sz w:val="28"/>
          <w:szCs w:val="28"/>
        </w:rPr>
      </w:pPr>
      <w:r w:rsidRPr="009C75C2">
        <w:rPr>
          <w:b/>
          <w:bCs/>
          <w:sz w:val="28"/>
          <w:szCs w:val="28"/>
        </w:rPr>
        <w:t>Nové podmínky stavebního spoření – nové příležitosti</w:t>
      </w:r>
      <w:r w:rsidR="00A10BB0" w:rsidRPr="009C75C2">
        <w:rPr>
          <w:b/>
          <w:bCs/>
          <w:sz w:val="28"/>
          <w:szCs w:val="28"/>
        </w:rPr>
        <w:t xml:space="preserve"> </w:t>
      </w:r>
      <w:r w:rsidR="00294F2F" w:rsidRPr="009C75C2">
        <w:rPr>
          <w:b/>
          <w:bCs/>
          <w:sz w:val="28"/>
          <w:szCs w:val="28"/>
        </w:rPr>
        <w:t>i</w:t>
      </w:r>
      <w:r w:rsidR="00A10BB0" w:rsidRPr="009C75C2">
        <w:rPr>
          <w:b/>
          <w:bCs/>
          <w:sz w:val="28"/>
          <w:szCs w:val="28"/>
        </w:rPr>
        <w:t xml:space="preserve"> </w:t>
      </w:r>
      <w:r w:rsidRPr="009C75C2">
        <w:rPr>
          <w:b/>
          <w:bCs/>
          <w:sz w:val="28"/>
          <w:szCs w:val="28"/>
        </w:rPr>
        <w:t>výzvy</w:t>
      </w:r>
    </w:p>
    <w:p w14:paraId="47F325B2" w14:textId="7FB0936B" w:rsidR="003E4B6A" w:rsidRPr="00B8557F" w:rsidRDefault="0072058D" w:rsidP="000E12F0">
      <w:pPr>
        <w:jc w:val="both"/>
        <w:rPr>
          <w:b/>
          <w:bCs/>
        </w:rPr>
      </w:pPr>
      <w:r w:rsidRPr="00B8557F">
        <w:rPr>
          <w:b/>
          <w:bCs/>
        </w:rPr>
        <w:t xml:space="preserve">Stavební spoření jako tradiční finanční nástroj v současnosti prochází </w:t>
      </w:r>
      <w:r w:rsidR="00B57987" w:rsidRPr="00B8557F">
        <w:rPr>
          <w:b/>
          <w:bCs/>
        </w:rPr>
        <w:t>zásadní</w:t>
      </w:r>
      <w:r w:rsidR="00B7592D" w:rsidRPr="00B8557F">
        <w:rPr>
          <w:b/>
          <w:bCs/>
        </w:rPr>
        <w:t xml:space="preserve"> změnou</w:t>
      </w:r>
      <w:r w:rsidR="00690F61" w:rsidRPr="00B8557F">
        <w:rPr>
          <w:b/>
          <w:bCs/>
        </w:rPr>
        <w:t>.</w:t>
      </w:r>
      <w:r w:rsidR="003E4B6A" w:rsidRPr="00B8557F">
        <w:rPr>
          <w:b/>
          <w:bCs/>
        </w:rPr>
        <w:t xml:space="preserve"> Státní podpora se snižuje</w:t>
      </w:r>
      <w:r w:rsidR="00BC0721" w:rsidRPr="00B8557F">
        <w:rPr>
          <w:b/>
          <w:bCs/>
        </w:rPr>
        <w:t xml:space="preserve">, </w:t>
      </w:r>
      <w:r w:rsidR="00261B07" w:rsidRPr="00B8557F">
        <w:rPr>
          <w:b/>
          <w:bCs/>
        </w:rPr>
        <w:t xml:space="preserve">a </w:t>
      </w:r>
      <w:r w:rsidR="00BC0721" w:rsidRPr="00B8557F">
        <w:rPr>
          <w:b/>
          <w:bCs/>
        </w:rPr>
        <w:t xml:space="preserve">přesto klientům zůstává povinnost </w:t>
      </w:r>
      <w:r w:rsidR="009C75C2" w:rsidRPr="00B8557F">
        <w:rPr>
          <w:b/>
          <w:bCs/>
        </w:rPr>
        <w:t>držet peníze na účtu po dobu minimálně šesti let, jinak by o podporu mohli přijít.</w:t>
      </w:r>
    </w:p>
    <w:p w14:paraId="52F0320B" w14:textId="6C3724E9" w:rsidR="003422BF" w:rsidRPr="0091177F" w:rsidRDefault="00585E39" w:rsidP="000E12F0">
      <w:pPr>
        <w:jc w:val="both"/>
      </w:pPr>
      <w:r w:rsidRPr="0091177F">
        <w:t xml:space="preserve">Jedním z výsledků vládního konsolidačního balíčku </w:t>
      </w:r>
      <w:r w:rsidR="0029688E" w:rsidRPr="0091177F">
        <w:t>je</w:t>
      </w:r>
      <w:r w:rsidR="00274BE3" w:rsidRPr="0091177F">
        <w:t xml:space="preserve"> snížení státní podpory z</w:t>
      </w:r>
      <w:r w:rsidR="00A254CB" w:rsidRPr="0091177F">
        <w:t> </w:t>
      </w:r>
      <w:r w:rsidR="00274BE3" w:rsidRPr="0091177F">
        <w:t>2</w:t>
      </w:r>
      <w:r w:rsidR="00A254CB" w:rsidRPr="0091177F">
        <w:t xml:space="preserve"> </w:t>
      </w:r>
      <w:r w:rsidR="00274BE3" w:rsidRPr="0091177F">
        <w:t>000</w:t>
      </w:r>
      <w:r w:rsidR="00294F2F" w:rsidRPr="0091177F">
        <w:t xml:space="preserve"> Kč</w:t>
      </w:r>
      <w:r w:rsidR="00274BE3" w:rsidRPr="0091177F">
        <w:t xml:space="preserve"> na</w:t>
      </w:r>
      <w:r w:rsidR="00260431" w:rsidRPr="0091177F">
        <w:t xml:space="preserve"> </w:t>
      </w:r>
      <w:r w:rsidR="009E41A3" w:rsidRPr="0091177F">
        <w:t>polovičních</w:t>
      </w:r>
      <w:r w:rsidR="00274BE3" w:rsidRPr="0091177F">
        <w:t xml:space="preserve"> 1</w:t>
      </w:r>
      <w:r w:rsidR="00A254CB" w:rsidRPr="0091177F">
        <w:t xml:space="preserve"> </w:t>
      </w:r>
      <w:r w:rsidR="00274BE3" w:rsidRPr="0091177F">
        <w:t>000 Kč</w:t>
      </w:r>
      <w:r w:rsidR="0029688E" w:rsidRPr="0091177F">
        <w:t>, za vložených 20</w:t>
      </w:r>
      <w:r w:rsidR="00A254CB" w:rsidRPr="0091177F">
        <w:t xml:space="preserve"> </w:t>
      </w:r>
      <w:r w:rsidR="0029688E" w:rsidRPr="0091177F">
        <w:t>000 Kč</w:t>
      </w:r>
      <w:r w:rsidR="005F5910" w:rsidRPr="0091177F">
        <w:t>.</w:t>
      </w:r>
      <w:r w:rsidR="0029688E" w:rsidRPr="0091177F">
        <w:t xml:space="preserve"> </w:t>
      </w:r>
      <w:r w:rsidR="00756DF6" w:rsidRPr="0091177F">
        <w:t>V takové situaci</w:t>
      </w:r>
      <w:r w:rsidR="005F5910" w:rsidRPr="0091177F">
        <w:t xml:space="preserve"> </w:t>
      </w:r>
      <w:r w:rsidR="0063417A" w:rsidRPr="0091177F">
        <w:t xml:space="preserve">jde </w:t>
      </w:r>
      <w:r w:rsidR="005F5910" w:rsidRPr="0091177F">
        <w:t xml:space="preserve">o </w:t>
      </w:r>
      <w:r w:rsidR="00A44745" w:rsidRPr="0091177F">
        <w:t xml:space="preserve">přibližně </w:t>
      </w:r>
      <w:r w:rsidR="005F5910" w:rsidRPr="0091177F">
        <w:t xml:space="preserve">5% zhodnocení. Vezmeme-li však </w:t>
      </w:r>
      <w:r w:rsidR="00756DF6" w:rsidRPr="0091177F">
        <w:t>cílovou šetřenou částku 120</w:t>
      </w:r>
      <w:r w:rsidR="00A254CB" w:rsidRPr="0091177F">
        <w:t xml:space="preserve"> </w:t>
      </w:r>
      <w:r w:rsidR="00756DF6" w:rsidRPr="0091177F">
        <w:t xml:space="preserve">000 Kč, tak </w:t>
      </w:r>
      <w:r w:rsidR="00C22287" w:rsidRPr="0091177F">
        <w:t>v tomto případě už státní podpor</w:t>
      </w:r>
      <w:r w:rsidR="009C2C3F" w:rsidRPr="0091177F">
        <w:t>a</w:t>
      </w:r>
      <w:r w:rsidR="00C22287" w:rsidRPr="0091177F">
        <w:t xml:space="preserve"> činní </w:t>
      </w:r>
      <w:r w:rsidR="00A44745" w:rsidRPr="0091177F">
        <w:t>jen</w:t>
      </w:r>
      <w:r w:rsidR="00C22287" w:rsidRPr="0091177F">
        <w:t xml:space="preserve"> </w:t>
      </w:r>
      <w:r w:rsidR="00ED417A" w:rsidRPr="0091177F">
        <w:t>zhruba</w:t>
      </w:r>
      <w:r w:rsidR="009C2C3F" w:rsidRPr="0091177F">
        <w:t xml:space="preserve"> </w:t>
      </w:r>
      <w:r w:rsidR="00C22287" w:rsidRPr="0091177F">
        <w:t>0,8 %.</w:t>
      </w:r>
      <w:r w:rsidR="0029688E" w:rsidRPr="0091177F">
        <w:t xml:space="preserve"> </w:t>
      </w:r>
    </w:p>
    <w:p w14:paraId="4C8BB3B2" w14:textId="5CBB832C" w:rsidR="00056F95" w:rsidRPr="0091177F" w:rsidRDefault="0000187C" w:rsidP="00A74BBC">
      <w:pPr>
        <w:jc w:val="both"/>
      </w:pPr>
      <w:r w:rsidRPr="0091177F">
        <w:rPr>
          <w:noProof/>
        </w:rPr>
        <w:drawing>
          <wp:anchor distT="0" distB="0" distL="114300" distR="114300" simplePos="0" relativeHeight="251658240" behindDoc="0" locked="0" layoutInCell="1" allowOverlap="1" wp14:anchorId="1A026449" wp14:editId="11ADE6D3">
            <wp:simplePos x="0" y="0"/>
            <wp:positionH relativeFrom="margin">
              <wp:posOffset>3987413</wp:posOffset>
            </wp:positionH>
            <wp:positionV relativeFrom="paragraph">
              <wp:posOffset>21341</wp:posOffset>
            </wp:positionV>
            <wp:extent cx="1732915" cy="2600325"/>
            <wp:effectExtent l="0" t="0" r="635" b="9525"/>
            <wp:wrapSquare wrapText="bothSides"/>
            <wp:docPr id="5917092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09208" name="Obrázek 5917092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0F3" w:rsidRPr="0091177F">
        <w:t xml:space="preserve">„Hledání vhodného investičního nástroje závisí na individuálních znalostech a potřebách klienta,“ vysvětluje Adam Kaška z Fingo.cz. Lidé by proto podle něj měli vyhledávat rady odborníků a doporučení pro vhodné investiční strategie. V době vysoké inflace totiž stavební spoření nemusí být ve střednědobém až dlouhodobém horizontu optimálním řešením. </w:t>
      </w:r>
    </w:p>
    <w:p w14:paraId="0721DDF7" w14:textId="56B3BA1D" w:rsidR="00056F95" w:rsidRPr="0091177F" w:rsidRDefault="001F10F3" w:rsidP="00056F95">
      <w:pPr>
        <w:jc w:val="both"/>
      </w:pPr>
      <w:r w:rsidRPr="0091177F">
        <w:rPr>
          <w:noProof/>
        </w:rPr>
        <w:t>Přes snižující se zhodnocení financí zůstává počet</w:t>
      </w:r>
      <w:r w:rsidRPr="0091177F">
        <w:t xml:space="preserve"> každoročně uzavřených smluv stavebního spoření už přes deset let téměř </w:t>
      </w:r>
      <w:hyperlink r:id="rId7" w:history="1">
        <w:r w:rsidRPr="0072173B">
          <w:rPr>
            <w:rStyle w:val="Hypertextovodkaz"/>
          </w:rPr>
          <w:t>stejný</w:t>
        </w:r>
      </w:hyperlink>
      <w:r w:rsidRPr="0091177F">
        <w:t>. Stavební spořitelny dnes lákají klienty na různé odměny, jako třeba 5 000 Kč bonus za novou smlouvu a vklad nad 100 000 Kč. To však může být jenom marketingovým tahem. Klient by měl zvážit, zda se mu tyto odměny v závěru vyplatí oproti situaci, kdy by například zvážil cestu alternativních investic. Počítat musí také s tím, že u stavebního spoření musí peníze na účtu držet alespoň šest let, jinak by mohl přijít o státní podporu.</w:t>
      </w:r>
    </w:p>
    <w:p w14:paraId="2D00A7EE" w14:textId="3BB41F28" w:rsidR="007C0FDD" w:rsidRPr="0091177F" w:rsidRDefault="0000187C" w:rsidP="008A05B7">
      <w:pPr>
        <w:jc w:val="both"/>
      </w:pPr>
      <w:r w:rsidRPr="0091177F">
        <w:rPr>
          <w:noProof/>
        </w:rPr>
        <w:drawing>
          <wp:anchor distT="0" distB="0" distL="114300" distR="114300" simplePos="0" relativeHeight="251659264" behindDoc="0" locked="0" layoutInCell="1" allowOverlap="1" wp14:anchorId="70675C4C" wp14:editId="649866D8">
            <wp:simplePos x="0" y="0"/>
            <wp:positionH relativeFrom="margin">
              <wp:align>left</wp:align>
            </wp:positionH>
            <wp:positionV relativeFrom="paragraph">
              <wp:posOffset>9221</wp:posOffset>
            </wp:positionV>
            <wp:extent cx="2780030" cy="2085340"/>
            <wp:effectExtent l="0" t="0" r="1270" b="0"/>
            <wp:wrapSquare wrapText="bothSides"/>
            <wp:docPr id="5070606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60636" name="Obrázek 5070606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ACF" w:rsidRPr="0091177F">
        <w:t>Velk</w:t>
      </w:r>
      <w:r w:rsidR="008A05B7" w:rsidRPr="0091177F">
        <w:t xml:space="preserve">ým plus stavebního spoření </w:t>
      </w:r>
      <w:r w:rsidR="007D5ACF" w:rsidRPr="0091177F">
        <w:t>přesto zůstáv</w:t>
      </w:r>
      <w:r w:rsidR="008A05B7" w:rsidRPr="0091177F">
        <w:t>ají úvěry na energeticky úsporná opatření pro domácnost</w:t>
      </w:r>
      <w:r w:rsidR="00B9502D" w:rsidRPr="0091177F">
        <w:t>, díky nimž klient ušetří na energiích. Úrokové sazby</w:t>
      </w:r>
      <w:r w:rsidR="00023FAD" w:rsidRPr="0091177F">
        <w:t xml:space="preserve"> u úvěrů</w:t>
      </w:r>
      <w:r w:rsidR="00B9502D" w:rsidRPr="0091177F">
        <w:t xml:space="preserve"> </w:t>
      </w:r>
      <w:r w:rsidR="00B236AF" w:rsidRPr="0091177F">
        <w:t xml:space="preserve">ze stavebního spoření </w:t>
      </w:r>
      <w:r w:rsidR="000F6F1F" w:rsidRPr="0091177F">
        <w:t>budou nižší než u běžných spotřebitelských úvěrů, budou bez</w:t>
      </w:r>
      <w:r w:rsidR="00F50828" w:rsidRPr="0091177F">
        <w:t xml:space="preserve"> nutnosti</w:t>
      </w:r>
      <w:r w:rsidR="000F6F1F" w:rsidRPr="0091177F">
        <w:t xml:space="preserve"> zástavy</w:t>
      </w:r>
      <w:r w:rsidR="00F50828" w:rsidRPr="0091177F">
        <w:t xml:space="preserve"> nemovitosti</w:t>
      </w:r>
      <w:r w:rsidR="000F6F1F" w:rsidRPr="0091177F">
        <w:t xml:space="preserve"> a </w:t>
      </w:r>
      <w:r w:rsidR="00C61E11" w:rsidRPr="0091177F">
        <w:t xml:space="preserve">s rychlým vyřízením. </w:t>
      </w:r>
      <w:r w:rsidR="004B5D6F" w:rsidRPr="0091177F">
        <w:t xml:space="preserve">V budoucnu </w:t>
      </w:r>
      <w:r w:rsidR="002D3A31" w:rsidRPr="0091177F">
        <w:t xml:space="preserve">by </w:t>
      </w:r>
      <w:r w:rsidR="004B5D6F" w:rsidRPr="0091177F">
        <w:t xml:space="preserve">tyto dotační programy dokonce </w:t>
      </w:r>
      <w:r w:rsidR="002D3A31" w:rsidRPr="0091177F">
        <w:t>mohly</w:t>
      </w:r>
      <w:r w:rsidR="004B5D6F" w:rsidRPr="0091177F">
        <w:t xml:space="preserve"> přibývat, a podpoř</w:t>
      </w:r>
      <w:r w:rsidR="002D3A31" w:rsidRPr="0091177F">
        <w:t>it</w:t>
      </w:r>
      <w:r w:rsidR="004B5D6F" w:rsidRPr="0091177F">
        <w:t xml:space="preserve"> tak inovac</w:t>
      </w:r>
      <w:r w:rsidR="009B14BD" w:rsidRPr="0091177F">
        <w:t>i</w:t>
      </w:r>
      <w:r w:rsidR="004B5D6F" w:rsidRPr="0091177F">
        <w:t xml:space="preserve"> </w:t>
      </w:r>
      <w:r w:rsidR="00BD2BD8" w:rsidRPr="0091177F">
        <w:t>domácností</w:t>
      </w:r>
      <w:r w:rsidR="00A74EC8" w:rsidRPr="0091177F">
        <w:t xml:space="preserve">. </w:t>
      </w:r>
      <w:r w:rsidR="002D3A31" w:rsidRPr="0091177F">
        <w:t>Za takových okolností by</w:t>
      </w:r>
      <w:r w:rsidR="002D647A" w:rsidRPr="0091177F">
        <w:t xml:space="preserve"> se</w:t>
      </w:r>
      <w:r w:rsidR="002D3A31" w:rsidRPr="0091177F">
        <w:t xml:space="preserve"> úvěry </w:t>
      </w:r>
      <w:r w:rsidR="002D647A" w:rsidRPr="0091177F">
        <w:t>ze stavebního spoření mohly stát jednou z nejvýhodnějších variant financování.</w:t>
      </w:r>
      <w:r w:rsidR="008A05B7" w:rsidRPr="0091177F">
        <w:t xml:space="preserve"> </w:t>
      </w:r>
    </w:p>
    <w:p w14:paraId="15610DC4" w14:textId="028482D3" w:rsidR="00603600" w:rsidRPr="0091177F" w:rsidRDefault="00D51110" w:rsidP="008A05B7">
      <w:pPr>
        <w:jc w:val="both"/>
      </w:pPr>
      <w:r w:rsidRPr="0091177F">
        <w:t>„</w:t>
      </w:r>
      <w:r w:rsidR="00467706" w:rsidRPr="0091177F">
        <w:t>S rostoucími úrokovými sazbami hypoték roste zájem o úvěry ze stavebního spoření. Jejich výhoda totiž spočívá s tom, že mají úrokovou sazbu zafixovanou ve smlouvě o stavebním spoření</w:t>
      </w:r>
      <w:r w:rsidRPr="0091177F">
        <w:t xml:space="preserve">,“ říká </w:t>
      </w:r>
      <w:r w:rsidR="00603600" w:rsidRPr="0091177F">
        <w:t xml:space="preserve">Petr </w:t>
      </w:r>
      <w:proofErr w:type="spellStart"/>
      <w:r w:rsidR="00603600" w:rsidRPr="0091177F">
        <w:t>Kielar</w:t>
      </w:r>
      <w:proofErr w:type="spellEnd"/>
      <w:r w:rsidR="00C836CA" w:rsidRPr="0091177F">
        <w:t>, nezávislý konzultant</w:t>
      </w:r>
      <w:r w:rsidRPr="0091177F">
        <w:t xml:space="preserve"> pro oblast bankovnictví a </w:t>
      </w:r>
      <w:hyperlink r:id="rId9" w:history="1">
        <w:r w:rsidRPr="0072173B">
          <w:rPr>
            <w:rStyle w:val="Hypertextovodkaz"/>
          </w:rPr>
          <w:t>stavebního spoření</w:t>
        </w:r>
      </w:hyperlink>
      <w:r w:rsidRPr="0091177F">
        <w:t>.</w:t>
      </w:r>
    </w:p>
    <w:p w14:paraId="5B0FE212" w14:textId="77777777" w:rsidR="00603600" w:rsidRPr="0091177F" w:rsidRDefault="00603600" w:rsidP="008A05B7">
      <w:pPr>
        <w:jc w:val="both"/>
      </w:pPr>
    </w:p>
    <w:p w14:paraId="06C9C1C5" w14:textId="77777777" w:rsidR="002A7FF6" w:rsidRPr="0091177F" w:rsidRDefault="002A7FF6" w:rsidP="002A7FF6">
      <w:pPr>
        <w:rPr>
          <w:sz w:val="20"/>
          <w:szCs w:val="20"/>
        </w:rPr>
      </w:pPr>
      <w:r w:rsidRPr="0091177F">
        <w:rPr>
          <w:sz w:val="20"/>
          <w:szCs w:val="20"/>
        </w:rPr>
        <w:t xml:space="preserve">O společnosti </w:t>
      </w:r>
      <w:proofErr w:type="spellStart"/>
      <w:r w:rsidRPr="0091177F">
        <w:rPr>
          <w:sz w:val="20"/>
          <w:szCs w:val="20"/>
        </w:rPr>
        <w:t>FinGO</w:t>
      </w:r>
      <w:proofErr w:type="spellEnd"/>
      <w:r w:rsidRPr="0091177F">
        <w:rPr>
          <w:sz w:val="20"/>
          <w:szCs w:val="20"/>
        </w:rPr>
        <w:t>:</w:t>
      </w:r>
    </w:p>
    <w:p w14:paraId="051B4CAE" w14:textId="77777777" w:rsidR="002A7FF6" w:rsidRPr="0091177F" w:rsidRDefault="002A7FF6" w:rsidP="00D643E6">
      <w:pPr>
        <w:jc w:val="both"/>
        <w:rPr>
          <w:sz w:val="20"/>
          <w:szCs w:val="20"/>
        </w:rPr>
      </w:pPr>
      <w:r w:rsidRPr="0091177F">
        <w:rPr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32580AC6" w14:textId="7CC5707C" w:rsidR="001A6BB8" w:rsidRPr="0091177F" w:rsidRDefault="00A1793F" w:rsidP="008A05B7">
      <w:pPr>
        <w:jc w:val="both"/>
        <w:rPr>
          <w:sz w:val="20"/>
          <w:szCs w:val="20"/>
        </w:rPr>
      </w:pPr>
      <w:r w:rsidRPr="0091177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AF7FE2" wp14:editId="1E6B89A9">
            <wp:simplePos x="0" y="0"/>
            <wp:positionH relativeFrom="margin">
              <wp:posOffset>3314700</wp:posOffset>
            </wp:positionH>
            <wp:positionV relativeFrom="paragraph">
              <wp:posOffset>1353185</wp:posOffset>
            </wp:positionV>
            <wp:extent cx="460375" cy="431800"/>
            <wp:effectExtent l="0" t="0" r="0" b="6350"/>
            <wp:wrapSquare wrapText="bothSides"/>
            <wp:docPr id="813927274" name="Obrázek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77F">
        <w:rPr>
          <w:noProof/>
        </w:rPr>
        <w:drawing>
          <wp:anchor distT="0" distB="0" distL="114300" distR="114300" simplePos="0" relativeHeight="251662336" behindDoc="0" locked="0" layoutInCell="1" allowOverlap="1" wp14:anchorId="277AC39F" wp14:editId="70739D6E">
            <wp:simplePos x="0" y="0"/>
            <wp:positionH relativeFrom="margin">
              <wp:posOffset>3765550</wp:posOffset>
            </wp:positionH>
            <wp:positionV relativeFrom="paragraph">
              <wp:posOffset>1353185</wp:posOffset>
            </wp:positionV>
            <wp:extent cx="845820" cy="431800"/>
            <wp:effectExtent l="0" t="0" r="0" b="6350"/>
            <wp:wrapSquare wrapText="bothSides"/>
            <wp:docPr id="1496623474" name="Obrázek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77F">
        <w:rPr>
          <w:noProof/>
        </w:rPr>
        <w:drawing>
          <wp:anchor distT="0" distB="0" distL="114300" distR="114300" simplePos="0" relativeHeight="251663360" behindDoc="0" locked="0" layoutInCell="1" allowOverlap="1" wp14:anchorId="6A53AF58" wp14:editId="597B763B">
            <wp:simplePos x="0" y="0"/>
            <wp:positionH relativeFrom="column">
              <wp:posOffset>4552950</wp:posOffset>
            </wp:positionH>
            <wp:positionV relativeFrom="paragraph">
              <wp:posOffset>1358265</wp:posOffset>
            </wp:positionV>
            <wp:extent cx="467995" cy="431800"/>
            <wp:effectExtent l="0" t="0" r="8255" b="6350"/>
            <wp:wrapSquare wrapText="bothSides"/>
            <wp:docPr id="967382927" name="Obrázek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77F">
        <w:rPr>
          <w:noProof/>
        </w:rPr>
        <w:drawing>
          <wp:anchor distT="0" distB="0" distL="114300" distR="114300" simplePos="0" relativeHeight="251664384" behindDoc="0" locked="0" layoutInCell="1" allowOverlap="1" wp14:anchorId="7B0AD9D5" wp14:editId="56560556">
            <wp:simplePos x="0" y="0"/>
            <wp:positionH relativeFrom="margin">
              <wp:posOffset>5193078</wp:posOffset>
            </wp:positionH>
            <wp:positionV relativeFrom="paragraph">
              <wp:posOffset>1358600</wp:posOffset>
            </wp:positionV>
            <wp:extent cx="572135" cy="431800"/>
            <wp:effectExtent l="0" t="0" r="0" b="6350"/>
            <wp:wrapSquare wrapText="bothSides"/>
            <wp:docPr id="14362305" name="Obrázek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FF6" w:rsidRPr="0091177F">
        <w:rPr>
          <w:sz w:val="20"/>
          <w:szCs w:val="20"/>
        </w:rPr>
        <w:t xml:space="preserve">Společnost </w:t>
      </w:r>
      <w:proofErr w:type="spellStart"/>
      <w:r w:rsidR="002A7FF6" w:rsidRPr="0091177F">
        <w:rPr>
          <w:sz w:val="20"/>
          <w:szCs w:val="20"/>
        </w:rPr>
        <w:t>FinGO</w:t>
      </w:r>
      <w:proofErr w:type="spellEnd"/>
      <w:r w:rsidR="002A7FF6" w:rsidRPr="0091177F">
        <w:rPr>
          <w:sz w:val="20"/>
          <w:szCs w:val="20"/>
        </w:rPr>
        <w:t xml:space="preserve"> je součástí lokální investiční skupiny </w:t>
      </w:r>
      <w:proofErr w:type="spellStart"/>
      <w:r w:rsidR="002A7FF6" w:rsidRPr="0091177F">
        <w:rPr>
          <w:sz w:val="20"/>
          <w:szCs w:val="20"/>
        </w:rPr>
        <w:t>InTeFi</w:t>
      </w:r>
      <w:proofErr w:type="spellEnd"/>
      <w:r w:rsidR="002A7FF6" w:rsidRPr="0091177F">
        <w:rPr>
          <w:sz w:val="20"/>
          <w:szCs w:val="20"/>
        </w:rPr>
        <w:t xml:space="preserve"> </w:t>
      </w:r>
      <w:proofErr w:type="spellStart"/>
      <w:r w:rsidR="002A7FF6" w:rsidRPr="0091177F">
        <w:rPr>
          <w:sz w:val="20"/>
          <w:szCs w:val="20"/>
        </w:rPr>
        <w:t>Capital</w:t>
      </w:r>
      <w:proofErr w:type="spellEnd"/>
      <w:r w:rsidR="002A7FF6" w:rsidRPr="0091177F">
        <w:rPr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="002A7FF6" w:rsidRPr="0091177F">
        <w:rPr>
          <w:sz w:val="20"/>
          <w:szCs w:val="20"/>
        </w:rPr>
        <w:t>real</w:t>
      </w:r>
      <w:proofErr w:type="spellEnd"/>
      <w:r w:rsidR="002A7FF6" w:rsidRPr="0091177F">
        <w:rPr>
          <w:sz w:val="20"/>
          <w:szCs w:val="20"/>
        </w:rPr>
        <w:t xml:space="preserve"> </w:t>
      </w:r>
      <w:proofErr w:type="spellStart"/>
      <w:r w:rsidR="002A7FF6" w:rsidRPr="0091177F">
        <w:rPr>
          <w:sz w:val="20"/>
          <w:szCs w:val="20"/>
        </w:rPr>
        <w:t>estate</w:t>
      </w:r>
      <w:proofErr w:type="spellEnd"/>
      <w:r w:rsidR="002A7FF6" w:rsidRPr="0091177F">
        <w:rPr>
          <w:sz w:val="20"/>
          <w:szCs w:val="20"/>
        </w:rPr>
        <w:t xml:space="preserve"> developmentu. Podíl vlastní například v technologické skupině </w:t>
      </w:r>
      <w:proofErr w:type="spellStart"/>
      <w:r w:rsidR="002A7FF6" w:rsidRPr="0091177F">
        <w:rPr>
          <w:sz w:val="20"/>
          <w:szCs w:val="20"/>
        </w:rPr>
        <w:t>BiQ</w:t>
      </w:r>
      <w:proofErr w:type="spellEnd"/>
      <w:r w:rsidR="002A7FF6" w:rsidRPr="0091177F">
        <w:rPr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1A6BB8" w:rsidRPr="0091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A44C" w14:textId="77777777" w:rsidR="009F722B" w:rsidRDefault="009F722B" w:rsidP="00D14CC7">
      <w:pPr>
        <w:spacing w:after="0" w:line="240" w:lineRule="auto"/>
      </w:pPr>
      <w:r>
        <w:separator/>
      </w:r>
    </w:p>
  </w:endnote>
  <w:endnote w:type="continuationSeparator" w:id="0">
    <w:p w14:paraId="0696F43F" w14:textId="77777777" w:rsidR="009F722B" w:rsidRDefault="009F722B" w:rsidP="00D1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CA6B" w14:textId="77777777" w:rsidR="009F722B" w:rsidRDefault="009F722B" w:rsidP="00D14CC7">
      <w:pPr>
        <w:spacing w:after="0" w:line="240" w:lineRule="auto"/>
      </w:pPr>
      <w:r>
        <w:separator/>
      </w:r>
    </w:p>
  </w:footnote>
  <w:footnote w:type="continuationSeparator" w:id="0">
    <w:p w14:paraId="69AEB3E1" w14:textId="77777777" w:rsidR="009F722B" w:rsidRDefault="009F722B" w:rsidP="00D1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98"/>
    <w:rsid w:val="0000187C"/>
    <w:rsid w:val="0001564E"/>
    <w:rsid w:val="00023FAD"/>
    <w:rsid w:val="00056F95"/>
    <w:rsid w:val="0009598A"/>
    <w:rsid w:val="000B5854"/>
    <w:rsid w:val="000E12F0"/>
    <w:rsid w:val="000F6F1F"/>
    <w:rsid w:val="0011588D"/>
    <w:rsid w:val="001A69EC"/>
    <w:rsid w:val="001A6BB8"/>
    <w:rsid w:val="001B6D0B"/>
    <w:rsid w:val="001F10F3"/>
    <w:rsid w:val="00204ACF"/>
    <w:rsid w:val="00207B24"/>
    <w:rsid w:val="0026014B"/>
    <w:rsid w:val="00260431"/>
    <w:rsid w:val="00261B07"/>
    <w:rsid w:val="00274BE3"/>
    <w:rsid w:val="00294F2F"/>
    <w:rsid w:val="0029688E"/>
    <w:rsid w:val="002A7FF6"/>
    <w:rsid w:val="002D3A31"/>
    <w:rsid w:val="002D647A"/>
    <w:rsid w:val="003422BF"/>
    <w:rsid w:val="003B7FF8"/>
    <w:rsid w:val="003E4B6A"/>
    <w:rsid w:val="003E4C9E"/>
    <w:rsid w:val="00402492"/>
    <w:rsid w:val="00467706"/>
    <w:rsid w:val="00481E4E"/>
    <w:rsid w:val="0048242E"/>
    <w:rsid w:val="004B5D6F"/>
    <w:rsid w:val="004E49C7"/>
    <w:rsid w:val="0052312F"/>
    <w:rsid w:val="005611F9"/>
    <w:rsid w:val="005650EE"/>
    <w:rsid w:val="0057752C"/>
    <w:rsid w:val="00585E39"/>
    <w:rsid w:val="005B5EDA"/>
    <w:rsid w:val="005F5910"/>
    <w:rsid w:val="00603600"/>
    <w:rsid w:val="0063417A"/>
    <w:rsid w:val="00690F61"/>
    <w:rsid w:val="006D5C14"/>
    <w:rsid w:val="0070547A"/>
    <w:rsid w:val="0072058D"/>
    <w:rsid w:val="0072173B"/>
    <w:rsid w:val="00751F97"/>
    <w:rsid w:val="00756DF6"/>
    <w:rsid w:val="007702C6"/>
    <w:rsid w:val="00771CC2"/>
    <w:rsid w:val="00776355"/>
    <w:rsid w:val="007C0FDD"/>
    <w:rsid w:val="007D5ACF"/>
    <w:rsid w:val="00833075"/>
    <w:rsid w:val="008426C4"/>
    <w:rsid w:val="00863FD1"/>
    <w:rsid w:val="00887D9C"/>
    <w:rsid w:val="008A05B7"/>
    <w:rsid w:val="008A6577"/>
    <w:rsid w:val="008E5284"/>
    <w:rsid w:val="0091177F"/>
    <w:rsid w:val="00913BDD"/>
    <w:rsid w:val="00935660"/>
    <w:rsid w:val="00971B98"/>
    <w:rsid w:val="0097582A"/>
    <w:rsid w:val="00995D82"/>
    <w:rsid w:val="009B14BD"/>
    <w:rsid w:val="009C2C3F"/>
    <w:rsid w:val="009C75C2"/>
    <w:rsid w:val="009E41A3"/>
    <w:rsid w:val="009F722B"/>
    <w:rsid w:val="00A000C3"/>
    <w:rsid w:val="00A00D98"/>
    <w:rsid w:val="00A07F05"/>
    <w:rsid w:val="00A10BB0"/>
    <w:rsid w:val="00A1793F"/>
    <w:rsid w:val="00A254CB"/>
    <w:rsid w:val="00A44745"/>
    <w:rsid w:val="00A74BBC"/>
    <w:rsid w:val="00A74EC8"/>
    <w:rsid w:val="00A962D0"/>
    <w:rsid w:val="00AD26F4"/>
    <w:rsid w:val="00AE516C"/>
    <w:rsid w:val="00B20C30"/>
    <w:rsid w:val="00B236AF"/>
    <w:rsid w:val="00B406D1"/>
    <w:rsid w:val="00B57987"/>
    <w:rsid w:val="00B746F6"/>
    <w:rsid w:val="00B7592D"/>
    <w:rsid w:val="00B8557F"/>
    <w:rsid w:val="00B9502D"/>
    <w:rsid w:val="00BA6188"/>
    <w:rsid w:val="00BC0721"/>
    <w:rsid w:val="00BD2BD8"/>
    <w:rsid w:val="00BF5513"/>
    <w:rsid w:val="00C22287"/>
    <w:rsid w:val="00C61E11"/>
    <w:rsid w:val="00C725F2"/>
    <w:rsid w:val="00C81591"/>
    <w:rsid w:val="00C8166B"/>
    <w:rsid w:val="00C836CA"/>
    <w:rsid w:val="00CB37F7"/>
    <w:rsid w:val="00D0301C"/>
    <w:rsid w:val="00D14CC7"/>
    <w:rsid w:val="00D349F1"/>
    <w:rsid w:val="00D51110"/>
    <w:rsid w:val="00D643E6"/>
    <w:rsid w:val="00DD25DA"/>
    <w:rsid w:val="00DF2D5A"/>
    <w:rsid w:val="00E21D5A"/>
    <w:rsid w:val="00E66E54"/>
    <w:rsid w:val="00E73188"/>
    <w:rsid w:val="00ED27D5"/>
    <w:rsid w:val="00ED417A"/>
    <w:rsid w:val="00F50828"/>
    <w:rsid w:val="00F54815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3CC0"/>
  <w15:chartTrackingRefBased/>
  <w15:docId w15:val="{C371E5A7-7F77-4BA8-9D27-BBCB04F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C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C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4CC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14CC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564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Z&#225;kladn&#237;%20ukazatele%20v&#253;voje%20stavebn&#237;ho%20spo&#345;en&#237;%20v%20&#268;esk&#233;%20republice%20k%2031.3.2022%20v&#269;etn&#283;%20Koment&#225;&#345;e%20|%20Ministerstvo%20financ&#237;%20&#268;R%20(mfcr.cz)" TargetMode="External"/><Relationship Id="rId12" Type="http://schemas.openxmlformats.org/officeDocument/2006/relationships/hyperlink" Target="https://www.linkedin.com/company/fingo-cz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@fingocz314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www.facebook.com/fingo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&#218;v&#283;ry%20ze%20stavebn&#237;ho%20spo&#345;en&#237;%20se%20rozj&#237;&#382;d&#283;j&#237;%20&#8211;%20u%20n&#225;s%20i%20u%20soused&#367;%20(stavebky.cz)" TargetMode="External"/><Relationship Id="rId14" Type="http://schemas.openxmlformats.org/officeDocument/2006/relationships/hyperlink" Target="https://twitter.com/fingo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Dvořák</dc:creator>
  <cp:keywords/>
  <dc:description/>
  <cp:lastModifiedBy>Matouš Dvořák</cp:lastModifiedBy>
  <cp:revision>117</cp:revision>
  <dcterms:created xsi:type="dcterms:W3CDTF">2023-08-08T12:14:00Z</dcterms:created>
  <dcterms:modified xsi:type="dcterms:W3CDTF">2023-08-28T07:42:00Z</dcterms:modified>
</cp:coreProperties>
</file>